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EF2C6C" w:rsidRDefault="00692B79" w:rsidP="00692B79">
      <w:pPr>
        <w:rPr>
          <w:rFonts w:ascii="Arial" w:hAnsi="Arial" w:cs="Arial"/>
          <w:lang w:val="fr-FR"/>
        </w:rPr>
      </w:pPr>
      <w:r w:rsidRPr="00EF2C6C">
        <w:rPr>
          <w:rFonts w:ascii="Arial" w:hAnsi="Arial" w:cs="Arial"/>
          <w:lang w:val="fr-FR"/>
        </w:rPr>
        <w:t xml:space="preserve">Communiqué de presse </w:t>
      </w:r>
    </w:p>
    <w:p w14:paraId="7DFAD283" w14:textId="062CCDB1" w:rsidR="00692B79" w:rsidRPr="00EF2C6C" w:rsidRDefault="00692B79" w:rsidP="00692B79">
      <w:pPr>
        <w:rPr>
          <w:rFonts w:ascii="Arial" w:hAnsi="Arial" w:cs="Arial"/>
          <w:lang w:val="fr-FR"/>
        </w:rPr>
      </w:pPr>
      <w:r w:rsidRPr="00EF2C6C">
        <w:rPr>
          <w:rFonts w:ascii="Arial" w:hAnsi="Arial" w:cs="Arial"/>
          <w:lang w:val="fr-FR"/>
        </w:rPr>
        <w:t>N° 657f</w:t>
      </w:r>
      <w:r w:rsidRPr="00EF2C6C">
        <w:rPr>
          <w:rFonts w:ascii="Arial" w:hAnsi="Arial" w:cs="Arial"/>
          <w:lang w:val="fr-FR"/>
        </w:rPr>
        <w:tab/>
      </w:r>
      <w:r w:rsidRPr="00EF2C6C">
        <w:rPr>
          <w:rFonts w:ascii="Arial" w:hAnsi="Arial" w:cs="Arial"/>
          <w:lang w:val="fr-FR"/>
        </w:rPr>
        <w:tab/>
      </w:r>
      <w:r w:rsidRPr="00EF2C6C">
        <w:rPr>
          <w:rFonts w:ascii="Arial" w:hAnsi="Arial" w:cs="Arial"/>
          <w:lang w:val="fr-FR"/>
        </w:rPr>
        <w:tab/>
      </w:r>
      <w:r w:rsidRPr="00EF2C6C">
        <w:rPr>
          <w:rFonts w:ascii="Arial" w:hAnsi="Arial" w:cs="Arial"/>
          <w:lang w:val="fr-FR"/>
        </w:rPr>
        <w:tab/>
        <w:t xml:space="preserve"> </w:t>
      </w:r>
    </w:p>
    <w:p w14:paraId="1A6AF8D5" w14:textId="77777777" w:rsidR="00692B79" w:rsidRPr="00EF2C6C" w:rsidRDefault="00692B79" w:rsidP="00692B79">
      <w:pPr>
        <w:spacing w:line="360" w:lineRule="auto"/>
        <w:rPr>
          <w:rFonts w:ascii="Arial" w:hAnsi="Arial" w:cs="Arial"/>
          <w:b/>
          <w:sz w:val="28"/>
          <w:szCs w:val="28"/>
          <w:lang w:val="fr-FR" w:eastAsia="en-US"/>
        </w:rPr>
      </w:pPr>
    </w:p>
    <w:p w14:paraId="326B5A1F" w14:textId="77777777" w:rsidR="005028E2" w:rsidRPr="00EF2C6C" w:rsidRDefault="005028E2" w:rsidP="008F06CF">
      <w:pPr>
        <w:pStyle w:val="StandardWeb"/>
        <w:spacing w:line="360" w:lineRule="auto"/>
        <w:rPr>
          <w:rFonts w:ascii="Arial" w:hAnsi="Arial" w:cs="Arial"/>
          <w:b/>
          <w:sz w:val="32"/>
          <w:szCs w:val="32"/>
          <w:lang w:val="fr-FR"/>
        </w:rPr>
      </w:pPr>
      <w:r w:rsidRPr="00EF2C6C">
        <w:rPr>
          <w:rFonts w:ascii="Arial" w:hAnsi="Arial" w:cs="Arial"/>
          <w:b/>
          <w:sz w:val="32"/>
          <w:szCs w:val="32"/>
          <w:lang w:val="fr-FR"/>
        </w:rPr>
        <w:t>Nouvelle génération de capteurs confocaux chromatiques</w:t>
      </w:r>
    </w:p>
    <w:p w14:paraId="6F992B74" w14:textId="77777777" w:rsidR="005028E2" w:rsidRPr="00EF2C6C" w:rsidRDefault="005028E2" w:rsidP="008F06CF">
      <w:pPr>
        <w:pStyle w:val="StandardWeb"/>
        <w:spacing w:line="360" w:lineRule="auto"/>
        <w:rPr>
          <w:rFonts w:ascii="Arial" w:hAnsi="Arial" w:cs="Arial"/>
          <w:b/>
          <w:sz w:val="22"/>
          <w:szCs w:val="22"/>
          <w:lang w:val="fr-FR"/>
        </w:rPr>
      </w:pPr>
      <w:r w:rsidRPr="00EF2C6C">
        <w:rPr>
          <w:rFonts w:ascii="Arial" w:hAnsi="Arial" w:cs="Arial"/>
          <w:b/>
          <w:sz w:val="22"/>
          <w:szCs w:val="22"/>
          <w:lang w:val="fr-FR"/>
        </w:rPr>
        <w:t>Les capteurs haute température confocalDT IFS2407-xHT/VAC établissent de nouvelles normes pour les mesures dans des environnements exigeants. Les capteurs confocaux chromatiques fournissent des résultats de mesure extrêmement précis à des températures allant jusqu'à 200 °C. Grâce à un dégazage minimal, les capteurs sont également conçus pour une utilisation jusqu'à l'ultravide (UHV) et conviennent parfaitement aux tâches de mesure dans la construction mécanique de précision et l'industrie des semi-conducteurs.</w:t>
      </w:r>
    </w:p>
    <w:p w14:paraId="795A6B6A" w14:textId="77777777" w:rsidR="005028E2" w:rsidRPr="00EF2C6C" w:rsidRDefault="005028E2" w:rsidP="005028E2">
      <w:pPr>
        <w:pStyle w:val="StandardWeb"/>
        <w:spacing w:line="360" w:lineRule="auto"/>
        <w:rPr>
          <w:rFonts w:ascii="Arial" w:hAnsi="Arial" w:cs="Arial"/>
          <w:sz w:val="22"/>
          <w:szCs w:val="22"/>
          <w:lang w:val="fr-FR"/>
        </w:rPr>
      </w:pPr>
      <w:r w:rsidRPr="00EF2C6C">
        <w:rPr>
          <w:rFonts w:ascii="Arial" w:hAnsi="Arial" w:cs="Arial"/>
          <w:sz w:val="22"/>
          <w:szCs w:val="22"/>
          <w:lang w:val="fr-FR"/>
        </w:rPr>
        <w:t>Le nouveau capteur haute température confocalDT IFS2407-xHT/VAC est le premier capteur optique dans l'éventail de produits Micro-Epsilon à résister à des températures élevées allant jusqu'à 200 °C. En renonçant aux colles organiques, ces capteurs haute température en acier inoxydable dégagent peu de gaz et sont donc parfaitement adaptés à une utilisation jusqu'à l'ultravide (UHV). La structure passive des composants favorise également les mesures dans le vide, car les capteurs n'émettent pas de rayonnement thermique dans l'environnement.</w:t>
      </w:r>
    </w:p>
    <w:p w14:paraId="1CD7CD7A" w14:textId="77777777" w:rsidR="005028E2" w:rsidRPr="00EF2C6C" w:rsidRDefault="005028E2" w:rsidP="005028E2">
      <w:pPr>
        <w:pStyle w:val="StandardWeb"/>
        <w:spacing w:line="360" w:lineRule="auto"/>
        <w:rPr>
          <w:rFonts w:ascii="Arial" w:hAnsi="Arial" w:cs="Arial"/>
          <w:sz w:val="22"/>
          <w:szCs w:val="22"/>
          <w:lang w:val="fr-FR"/>
        </w:rPr>
      </w:pPr>
      <w:r w:rsidRPr="00EF2C6C">
        <w:rPr>
          <w:rFonts w:ascii="Arial" w:hAnsi="Arial" w:cs="Arial"/>
          <w:b/>
          <w:bCs/>
          <w:sz w:val="22"/>
          <w:szCs w:val="22"/>
          <w:lang w:val="fr-FR"/>
        </w:rPr>
        <w:t>Polyvalence et haute précision</w:t>
      </w:r>
    </w:p>
    <w:p w14:paraId="52146FA4" w14:textId="77777777" w:rsidR="00EF2C6C" w:rsidRPr="00EF2C6C" w:rsidRDefault="005028E2" w:rsidP="005028E2">
      <w:pPr>
        <w:pStyle w:val="StandardWeb"/>
        <w:spacing w:line="360" w:lineRule="auto"/>
        <w:rPr>
          <w:rFonts w:ascii="Arial" w:hAnsi="Arial" w:cs="Arial"/>
          <w:sz w:val="22"/>
          <w:szCs w:val="22"/>
          <w:lang w:val="fr-FR"/>
        </w:rPr>
      </w:pPr>
      <w:r w:rsidRPr="00EF2C6C">
        <w:rPr>
          <w:rFonts w:ascii="Arial" w:hAnsi="Arial" w:cs="Arial"/>
          <w:sz w:val="22"/>
          <w:szCs w:val="22"/>
          <w:lang w:val="fr-FR"/>
        </w:rPr>
        <w:t xml:space="preserve">Les modèles HT innovants sont utilisés aussi bien pour la mesure de déplacement et de distance sur des surfaces réfléchissantes et diffuses que pour la mesure d'épaisseur. De plus, les capteurs HT convainquent par une excellente linéarité allant jusqu'à &lt; ±0,18 µm et une stabilité thermique extrêmement élevée allant jusqu'à &lt; 0,1 µm/°C. </w:t>
      </w:r>
    </w:p>
    <w:p w14:paraId="619C1B1D" w14:textId="77777777" w:rsidR="00EF2C6C" w:rsidRPr="00EF2C6C" w:rsidRDefault="00EF2C6C" w:rsidP="005028E2">
      <w:pPr>
        <w:pStyle w:val="StandardWeb"/>
        <w:spacing w:line="360" w:lineRule="auto"/>
        <w:rPr>
          <w:rFonts w:ascii="Arial" w:hAnsi="Arial" w:cs="Arial"/>
          <w:sz w:val="22"/>
          <w:szCs w:val="22"/>
          <w:lang w:val="fr-FR"/>
        </w:rPr>
      </w:pPr>
    </w:p>
    <w:p w14:paraId="0B5F96D6" w14:textId="77777777" w:rsidR="00EF2C6C" w:rsidRPr="00EF2C6C" w:rsidRDefault="00EF2C6C" w:rsidP="005028E2">
      <w:pPr>
        <w:pStyle w:val="StandardWeb"/>
        <w:spacing w:line="360" w:lineRule="auto"/>
        <w:rPr>
          <w:rFonts w:ascii="Arial" w:hAnsi="Arial" w:cs="Arial"/>
          <w:sz w:val="22"/>
          <w:szCs w:val="22"/>
          <w:lang w:val="fr-FR"/>
        </w:rPr>
      </w:pPr>
    </w:p>
    <w:p w14:paraId="0AA37E89" w14:textId="77777777" w:rsidR="00EF2C6C" w:rsidRPr="00EF2C6C" w:rsidRDefault="00EF2C6C" w:rsidP="005028E2">
      <w:pPr>
        <w:pStyle w:val="StandardWeb"/>
        <w:spacing w:line="360" w:lineRule="auto"/>
        <w:rPr>
          <w:rFonts w:ascii="Arial" w:hAnsi="Arial" w:cs="Arial"/>
          <w:sz w:val="22"/>
          <w:szCs w:val="22"/>
          <w:lang w:val="fr-FR"/>
        </w:rPr>
      </w:pPr>
    </w:p>
    <w:p w14:paraId="1DF2807D" w14:textId="6D2A4B9C" w:rsidR="005028E2" w:rsidRPr="00EF2C6C" w:rsidRDefault="005028E2" w:rsidP="005028E2">
      <w:pPr>
        <w:pStyle w:val="StandardWeb"/>
        <w:spacing w:line="360" w:lineRule="auto"/>
        <w:rPr>
          <w:rFonts w:ascii="Arial" w:hAnsi="Arial" w:cs="Arial"/>
          <w:sz w:val="22"/>
          <w:szCs w:val="22"/>
          <w:lang w:val="fr-FR"/>
        </w:rPr>
      </w:pPr>
      <w:r w:rsidRPr="00EF2C6C">
        <w:rPr>
          <w:rFonts w:ascii="Arial" w:hAnsi="Arial" w:cs="Arial"/>
          <w:sz w:val="22"/>
          <w:szCs w:val="22"/>
          <w:lang w:val="fr-FR"/>
        </w:rPr>
        <w:t>Ces capteurs confocaux chromatiques sont donc prédestinés aux tâches de mesure dans l'industrie des semi-</w:t>
      </w:r>
      <w:r w:rsidRPr="00EF2C6C">
        <w:rPr>
          <w:rFonts w:ascii="Arial" w:hAnsi="Arial" w:cs="Arial"/>
          <w:sz w:val="22"/>
          <w:szCs w:val="22"/>
          <w:lang w:val="fr-FR"/>
        </w:rPr>
        <w:lastRenderedPageBreak/>
        <w:t>conducteurs et de l'électronique ainsi que dans la construction mécanique de précision.</w:t>
      </w:r>
    </w:p>
    <w:p w14:paraId="7B37F39A" w14:textId="58839370" w:rsidR="005028E2" w:rsidRPr="00EF2C6C" w:rsidRDefault="005028E2" w:rsidP="005028E2">
      <w:pPr>
        <w:pStyle w:val="StandardWeb"/>
        <w:spacing w:line="360" w:lineRule="auto"/>
        <w:rPr>
          <w:rFonts w:ascii="Arial" w:hAnsi="Arial" w:cs="Arial"/>
          <w:sz w:val="22"/>
          <w:szCs w:val="22"/>
          <w:lang w:val="fr-FR"/>
        </w:rPr>
      </w:pPr>
      <w:r w:rsidRPr="00EF2C6C">
        <w:rPr>
          <w:rFonts w:ascii="Arial" w:hAnsi="Arial" w:cs="Arial"/>
          <w:b/>
          <w:bCs/>
          <w:sz w:val="22"/>
          <w:szCs w:val="22"/>
          <w:lang w:val="fr-FR"/>
        </w:rPr>
        <w:t>Adaptation flexible aux situations de montage</w:t>
      </w:r>
    </w:p>
    <w:p w14:paraId="37FD4245" w14:textId="2EA3253A" w:rsidR="005028E2" w:rsidRPr="00EF2C6C" w:rsidRDefault="005028E2" w:rsidP="00F85CA6">
      <w:pPr>
        <w:pStyle w:val="StandardWeb"/>
        <w:spacing w:line="360" w:lineRule="auto"/>
        <w:rPr>
          <w:rFonts w:ascii="Arial" w:hAnsi="Arial" w:cs="Arial"/>
          <w:sz w:val="22"/>
          <w:szCs w:val="22"/>
          <w:lang w:val="fr-FR"/>
        </w:rPr>
      </w:pPr>
      <w:r w:rsidRPr="00EF2C6C">
        <w:rPr>
          <w:rFonts w:ascii="Arial" w:hAnsi="Arial" w:cs="Arial"/>
          <w:sz w:val="22"/>
          <w:szCs w:val="22"/>
          <w:lang w:val="fr-FR"/>
        </w:rPr>
        <w:t>Grâce à leur forme compacte, ces capteurs conviennent parfaitement aux applications où l'espace est limité. De plus, des modèles avec une trajectoire de faisceau de 90° sont disponibles afin de réduire encore plus la profondeur de l'espace de montage. Les capteurs HT innovants existent dans les plages de mesure 0,8 mm, 2 mm et 4 mm et s'intègrent facilement et rapidement dans les installations de processus existantes. Ils sont compatibles avec les contrôleurs confocaux chromatiques IFC.</w:t>
      </w:r>
    </w:p>
    <w:p w14:paraId="22CDE736" w14:textId="43149017" w:rsidR="00AD49A1" w:rsidRPr="00EF2C6C" w:rsidRDefault="00532ED4" w:rsidP="00D73B30">
      <w:pPr>
        <w:pStyle w:val="StandardWeb"/>
        <w:spacing w:line="360" w:lineRule="auto"/>
        <w:ind w:left="3540" w:firstLine="708"/>
        <w:rPr>
          <w:rFonts w:ascii="Arial" w:hAnsi="Arial" w:cs="Arial"/>
          <w:i/>
          <w:sz w:val="22"/>
          <w:szCs w:val="22"/>
          <w:lang w:val="fr-FR" w:eastAsia="en-US"/>
        </w:rPr>
      </w:pPr>
      <w:r w:rsidRPr="00EF2C6C">
        <w:rPr>
          <w:rFonts w:ascii="Arial" w:hAnsi="Arial" w:cs="Arial"/>
          <w:i/>
          <w:sz w:val="22"/>
          <w:szCs w:val="22"/>
          <w:lang w:val="fr-FR"/>
        </w:rPr>
        <w:t xml:space="preserve">env. </w:t>
      </w:r>
      <w:r w:rsidR="00EF2C6C" w:rsidRPr="00EF2C6C">
        <w:rPr>
          <w:rFonts w:ascii="Arial" w:hAnsi="Arial" w:cs="Arial"/>
          <w:i/>
          <w:sz w:val="22"/>
          <w:szCs w:val="22"/>
          <w:lang w:val="fr-FR"/>
        </w:rPr>
        <w:t>2 200</w:t>
      </w:r>
      <w:r w:rsidRPr="00EF2C6C">
        <w:rPr>
          <w:rFonts w:ascii="Arial" w:hAnsi="Arial" w:cs="Arial"/>
          <w:i/>
          <w:sz w:val="22"/>
          <w:szCs w:val="22"/>
          <w:lang w:val="fr-FR"/>
        </w:rPr>
        <w:t xml:space="preserve"> caractères</w:t>
      </w:r>
    </w:p>
    <w:p w14:paraId="502BD5F0" w14:textId="73D8DE4B" w:rsidR="006256DF" w:rsidRPr="00EF2C6C" w:rsidRDefault="005028E2" w:rsidP="00937FED">
      <w:pPr>
        <w:pStyle w:val="StandardWeb"/>
        <w:spacing w:line="360" w:lineRule="auto"/>
        <w:rPr>
          <w:rFonts w:ascii="Arial" w:hAnsi="Arial"/>
          <w:sz w:val="22"/>
          <w:szCs w:val="22"/>
          <w:lang w:val="fr-FR"/>
        </w:rPr>
      </w:pPr>
      <w:r w:rsidRPr="00EF2C6C">
        <w:rPr>
          <w:noProof/>
          <w:lang w:val="fr-FR"/>
        </w:rPr>
        <w:drawing>
          <wp:inline distT="0" distB="0" distL="0" distR="0" wp14:anchorId="2E9BD2CD" wp14:editId="12414797">
            <wp:extent cx="4229100" cy="2819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Pr="00EF2C6C">
        <w:rPr>
          <w:rFonts w:ascii="Arial" w:hAnsi="Arial"/>
          <w:sz w:val="22"/>
          <w:szCs w:val="22"/>
          <w:lang w:val="fr-FR"/>
        </w:rPr>
        <w:t xml:space="preserve"> (</w:t>
      </w:r>
      <w:r w:rsidRPr="00EF2C6C">
        <w:rPr>
          <w:rFonts w:ascii="Arial" w:hAnsi="Arial" w:cs="Arial"/>
          <w:sz w:val="22"/>
          <w:szCs w:val="22"/>
          <w:shd w:val="clear" w:color="auto" w:fill="FFFFFF"/>
          <w:lang w:val="fr-FR"/>
        </w:rPr>
        <w:t>PR657_confocalDT_IFS2407_HT_VAC.jpg</w:t>
      </w:r>
      <w:r w:rsidRPr="00EF2C6C">
        <w:rPr>
          <w:rFonts w:ascii="Arial" w:hAnsi="Arial" w:cs="Arial"/>
          <w:sz w:val="22"/>
          <w:szCs w:val="22"/>
          <w:lang w:val="fr-FR"/>
        </w:rPr>
        <w:t>)</w:t>
      </w:r>
    </w:p>
    <w:sectPr w:rsidR="006256DF" w:rsidRPr="00EF2C6C" w:rsidSect="00F86DF1">
      <w:headerReference w:type="default" r:id="rId7"/>
      <w:footerReference w:type="default" r:id="rId8"/>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Micro-Epsilon France S.a.r.l.</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Tél. +33 (0) 1 39 10 21 00 · </w:t>
                          </w:r>
                          <w:hyperlink r:id="rId1" w:history="1">
                            <w:r>
                              <w:rPr>
                                <w:rStyle w:val="Hyperlink"/>
                                <w:rFonts w:ascii="Swis721 Lt BT" w:hAnsi="Swis721 Lt BT"/>
                                <w:sz w:val="12"/>
                                <w:szCs w:val="12"/>
                              </w:rPr>
                              <w:t>www.micro-epsilon.fr</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Plus d’informations :</w:t>
                          </w:r>
                        </w:p>
                        <w:p w14:paraId="4AC1FA20" w14:textId="77777777" w:rsidR="005028E2" w:rsidRPr="00F86DF1" w:rsidRDefault="00EF2C6C" w:rsidP="00F86DF1">
                          <w:pPr>
                            <w:pStyle w:val="Fuzeile"/>
                            <w:jc w:val="right"/>
                            <w:rPr>
                              <w:rFonts w:ascii="Swis721 Lt BT" w:hAnsi="Swis721 Lt BT"/>
                              <w:sz w:val="12"/>
                              <w:szCs w:val="12"/>
                            </w:rPr>
                          </w:pPr>
                          <w:hyperlink r:id="rId2" w:history="1">
                            <w:r w:rsidR="005028E2">
                              <w:rPr>
                                <w:rStyle w:val="Hyperlink"/>
                                <w:rFonts w:ascii="Swis721 Lt BT" w:hAnsi="Swis721 Lt BT"/>
                                <w:sz w:val="12"/>
                                <w:szCs w:val="12"/>
                              </w:rPr>
                              <w:t>www.micro-epsilon.fr/press</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 xml:space="preserve">Micro-Epsilon France S.a.r.l.</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 xml:space="preserve">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Tél. +33 (0) 1 39 10 21 00 · </w:t>
                    </w:r>
                    <w:hyperlink r:id="rId3" w:history="1" w:tooltip="">
                      <w:r>
                        <w:rPr>
                          <w:rFonts w:ascii="Swis721 Lt BT" w:hAnsi="Swis721 Lt BT"/>
                          <w:rStyle w:val="Hyperlink"/>
                          <w:sz w:val="12"/>
                          <w:szCs w:val="12"/>
                        </w:rPr>
                        <w:t xml:space="preserve">www.micro-epsilon.fr</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Plus d’informations :</w:t>
                    </w:r>
                  </w:p>
                  <w:p w14:paraId="4AC1FA20" w14:textId="77777777" w:rsidR="005028E2" w:rsidRPr="00F86DF1" w:rsidRDefault="005028E2" w:rsidP="00F86DF1">
                    <w:pPr>
                      <w:pStyle w:val="Fuzeile"/>
                      <w:jc w:val="right"/>
                      <w:rPr>
                        <w:rFonts w:ascii="Swis721 Lt BT" w:hAnsi="Swis721 Lt BT"/>
                        <w:sz w:val="12"/>
                        <w:szCs w:val="12"/>
                      </w:rPr>
                    </w:pPr>
                    <w:hyperlink r:id="rId4" w:history="1" w:tooltip="">
                      <w:r>
                        <w:rPr>
                          <w:rFonts w:ascii="Swis721 Lt BT" w:hAnsi="Swis721 Lt BT"/>
                          <w:rStyle w:val="Hyperlink"/>
                          <w:sz w:val="12"/>
                          <w:szCs w:val="12"/>
                        </w:rPr>
                        <w:t xml:space="preserve">www.micro-epsilon.fr/press</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EF2C6C"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33535132" r:id="rId2"/>
      </w:obje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644AD"/>
    <w:rsid w:val="0009715D"/>
    <w:rsid w:val="000A4B1F"/>
    <w:rsid w:val="000B5D18"/>
    <w:rsid w:val="000D6124"/>
    <w:rsid w:val="000F4917"/>
    <w:rsid w:val="00117634"/>
    <w:rsid w:val="0012781A"/>
    <w:rsid w:val="00133C8F"/>
    <w:rsid w:val="00137BD8"/>
    <w:rsid w:val="001434EE"/>
    <w:rsid w:val="001445F7"/>
    <w:rsid w:val="001520CE"/>
    <w:rsid w:val="00157476"/>
    <w:rsid w:val="00162D7B"/>
    <w:rsid w:val="001773B6"/>
    <w:rsid w:val="00181F79"/>
    <w:rsid w:val="00185BB3"/>
    <w:rsid w:val="001865CD"/>
    <w:rsid w:val="00191A69"/>
    <w:rsid w:val="001920D2"/>
    <w:rsid w:val="001A0FDB"/>
    <w:rsid w:val="001A34B7"/>
    <w:rsid w:val="001B32B5"/>
    <w:rsid w:val="001B6DB9"/>
    <w:rsid w:val="001C2B2E"/>
    <w:rsid w:val="001C7910"/>
    <w:rsid w:val="001E42AC"/>
    <w:rsid w:val="001F1F0C"/>
    <w:rsid w:val="001F4101"/>
    <w:rsid w:val="002133BE"/>
    <w:rsid w:val="002258F0"/>
    <w:rsid w:val="00231E05"/>
    <w:rsid w:val="00276785"/>
    <w:rsid w:val="00296AA5"/>
    <w:rsid w:val="00296B2D"/>
    <w:rsid w:val="002A3DF9"/>
    <w:rsid w:val="002B6147"/>
    <w:rsid w:val="002C0F7E"/>
    <w:rsid w:val="002C3431"/>
    <w:rsid w:val="002C3636"/>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40012C"/>
    <w:rsid w:val="00403910"/>
    <w:rsid w:val="004048E3"/>
    <w:rsid w:val="00415C6D"/>
    <w:rsid w:val="00425876"/>
    <w:rsid w:val="00445113"/>
    <w:rsid w:val="0044514E"/>
    <w:rsid w:val="00451730"/>
    <w:rsid w:val="004573D5"/>
    <w:rsid w:val="00465186"/>
    <w:rsid w:val="0047282C"/>
    <w:rsid w:val="00487284"/>
    <w:rsid w:val="00494B5F"/>
    <w:rsid w:val="00494C2F"/>
    <w:rsid w:val="004A1017"/>
    <w:rsid w:val="004A7BD2"/>
    <w:rsid w:val="004C5AF5"/>
    <w:rsid w:val="004D3AC7"/>
    <w:rsid w:val="004E2AB7"/>
    <w:rsid w:val="004E3C72"/>
    <w:rsid w:val="005028E2"/>
    <w:rsid w:val="00510545"/>
    <w:rsid w:val="00514A2E"/>
    <w:rsid w:val="00516004"/>
    <w:rsid w:val="00520873"/>
    <w:rsid w:val="00531EBB"/>
    <w:rsid w:val="00532ED4"/>
    <w:rsid w:val="00534A9D"/>
    <w:rsid w:val="00535F37"/>
    <w:rsid w:val="005424CC"/>
    <w:rsid w:val="00571DDC"/>
    <w:rsid w:val="0059052F"/>
    <w:rsid w:val="00597952"/>
    <w:rsid w:val="005C6191"/>
    <w:rsid w:val="005D0FCE"/>
    <w:rsid w:val="005D7782"/>
    <w:rsid w:val="005E5203"/>
    <w:rsid w:val="005E77FF"/>
    <w:rsid w:val="005F0206"/>
    <w:rsid w:val="005F1402"/>
    <w:rsid w:val="005F5115"/>
    <w:rsid w:val="00610D20"/>
    <w:rsid w:val="006256DF"/>
    <w:rsid w:val="0063789F"/>
    <w:rsid w:val="006660D1"/>
    <w:rsid w:val="006732F5"/>
    <w:rsid w:val="00676DC9"/>
    <w:rsid w:val="00682299"/>
    <w:rsid w:val="00690B46"/>
    <w:rsid w:val="00691019"/>
    <w:rsid w:val="00692B79"/>
    <w:rsid w:val="006A12FD"/>
    <w:rsid w:val="006A2C70"/>
    <w:rsid w:val="006B3638"/>
    <w:rsid w:val="006B5175"/>
    <w:rsid w:val="006E5B66"/>
    <w:rsid w:val="006F0949"/>
    <w:rsid w:val="007047B1"/>
    <w:rsid w:val="007075C0"/>
    <w:rsid w:val="00715E2F"/>
    <w:rsid w:val="00720300"/>
    <w:rsid w:val="00726240"/>
    <w:rsid w:val="0073128E"/>
    <w:rsid w:val="00736B2F"/>
    <w:rsid w:val="0073759E"/>
    <w:rsid w:val="00745641"/>
    <w:rsid w:val="00746FE1"/>
    <w:rsid w:val="00747E03"/>
    <w:rsid w:val="00750A2D"/>
    <w:rsid w:val="007760BE"/>
    <w:rsid w:val="00782BFF"/>
    <w:rsid w:val="00787865"/>
    <w:rsid w:val="007910F1"/>
    <w:rsid w:val="007A02DD"/>
    <w:rsid w:val="007A698A"/>
    <w:rsid w:val="007B7F3D"/>
    <w:rsid w:val="007C3D8F"/>
    <w:rsid w:val="007D5519"/>
    <w:rsid w:val="007D7754"/>
    <w:rsid w:val="007E3338"/>
    <w:rsid w:val="007E4C97"/>
    <w:rsid w:val="007E711B"/>
    <w:rsid w:val="007E7C9B"/>
    <w:rsid w:val="00811983"/>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7FED"/>
    <w:rsid w:val="009461E6"/>
    <w:rsid w:val="009577C1"/>
    <w:rsid w:val="00966A24"/>
    <w:rsid w:val="00986A38"/>
    <w:rsid w:val="009A14D9"/>
    <w:rsid w:val="009B056A"/>
    <w:rsid w:val="009E6FBB"/>
    <w:rsid w:val="009F014C"/>
    <w:rsid w:val="009F51B7"/>
    <w:rsid w:val="009F7341"/>
    <w:rsid w:val="00A07B2B"/>
    <w:rsid w:val="00A117F5"/>
    <w:rsid w:val="00A11AE2"/>
    <w:rsid w:val="00A137C5"/>
    <w:rsid w:val="00A17234"/>
    <w:rsid w:val="00A21466"/>
    <w:rsid w:val="00A24B87"/>
    <w:rsid w:val="00A410BD"/>
    <w:rsid w:val="00A42516"/>
    <w:rsid w:val="00A42FD7"/>
    <w:rsid w:val="00A7070E"/>
    <w:rsid w:val="00A72F4A"/>
    <w:rsid w:val="00A91217"/>
    <w:rsid w:val="00A961AE"/>
    <w:rsid w:val="00AA13D5"/>
    <w:rsid w:val="00AA21D6"/>
    <w:rsid w:val="00AB035C"/>
    <w:rsid w:val="00AB2720"/>
    <w:rsid w:val="00AC1C7C"/>
    <w:rsid w:val="00AC44A8"/>
    <w:rsid w:val="00AD00A7"/>
    <w:rsid w:val="00AD49A1"/>
    <w:rsid w:val="00AD5B8F"/>
    <w:rsid w:val="00B068B5"/>
    <w:rsid w:val="00B12615"/>
    <w:rsid w:val="00B13F83"/>
    <w:rsid w:val="00B20002"/>
    <w:rsid w:val="00B36411"/>
    <w:rsid w:val="00B40474"/>
    <w:rsid w:val="00B51196"/>
    <w:rsid w:val="00B70545"/>
    <w:rsid w:val="00B753BE"/>
    <w:rsid w:val="00B908A7"/>
    <w:rsid w:val="00B9524F"/>
    <w:rsid w:val="00BB3C44"/>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D4CCC"/>
    <w:rsid w:val="00CE1442"/>
    <w:rsid w:val="00CE2B4E"/>
    <w:rsid w:val="00CE4265"/>
    <w:rsid w:val="00CE764C"/>
    <w:rsid w:val="00CF0A29"/>
    <w:rsid w:val="00CF47DD"/>
    <w:rsid w:val="00D105AB"/>
    <w:rsid w:val="00D332A1"/>
    <w:rsid w:val="00D377D6"/>
    <w:rsid w:val="00D44056"/>
    <w:rsid w:val="00D444B6"/>
    <w:rsid w:val="00D4781B"/>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3DF6"/>
    <w:rsid w:val="00ED2480"/>
    <w:rsid w:val="00EF2932"/>
    <w:rsid w:val="00EF2C6C"/>
    <w:rsid w:val="00EF65B9"/>
    <w:rsid w:val="00EF7C2C"/>
    <w:rsid w:val="00F12E42"/>
    <w:rsid w:val="00F14DC4"/>
    <w:rsid w:val="00F23A7A"/>
    <w:rsid w:val="00F31CFB"/>
    <w:rsid w:val="00F425CE"/>
    <w:rsid w:val="00F71C1D"/>
    <w:rsid w:val="00F73BAB"/>
    <w:rsid w:val="00F763BB"/>
    <w:rsid w:val="00F768F6"/>
    <w:rsid w:val="00F83529"/>
    <w:rsid w:val="00F85CA6"/>
    <w:rsid w:val="00F87143"/>
    <w:rsid w:val="00F95547"/>
    <w:rsid w:val="00F95A3D"/>
    <w:rsid w:val="00F96F53"/>
    <w:rsid w:val="00FA08F7"/>
    <w:rsid w:val="00FA2D4B"/>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fr" TargetMode="External"/><Relationship Id="rId2" Type="http://schemas.openxmlformats.org/officeDocument/2006/relationships/hyperlink" Target="http://www.micro-epsilon.fr/press" TargetMode="External"/><Relationship Id="rId1" Type="http://schemas.openxmlformats.org/officeDocument/2006/relationships/hyperlink" Target="http://www.micro-epsilon.fr" TargetMode="External"/><Relationship Id="rId4" Type="http://schemas.openxmlformats.org/officeDocument/2006/relationships/hyperlink" Target="http://www.micro-epsilon.fr/pres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317</Words>
  <Characters>2001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Anetsberger, Andrea</cp:lastModifiedBy>
  <cp:revision>2</cp:revision>
  <dcterms:created xsi:type="dcterms:W3CDTF">2026-02-25T13:32:00Z</dcterms:created>
  <dcterms:modified xsi:type="dcterms:W3CDTF">2026-02-25T13:32:00Z</dcterms:modified>
</cp:coreProperties>
</file>